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767" w:rsidRPr="0039688D" w:rsidRDefault="00BE4767" w:rsidP="0039688D">
      <w:pPr>
        <w:spacing w:after="0" w:line="480" w:lineRule="auto"/>
        <w:jc w:val="both"/>
        <w:rPr>
          <w:sz w:val="24"/>
          <w:szCs w:val="24"/>
        </w:rPr>
      </w:pPr>
      <w:bookmarkStart w:id="0" w:name="_GoBack"/>
      <w:bookmarkEnd w:id="0"/>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100382" w:rsidRPr="0039688D" w:rsidRDefault="00100382" w:rsidP="0039688D">
      <w:pPr>
        <w:spacing w:after="0" w:line="480" w:lineRule="auto"/>
        <w:jc w:val="both"/>
        <w:rPr>
          <w:sz w:val="24"/>
          <w:szCs w:val="24"/>
        </w:rPr>
      </w:pPr>
    </w:p>
    <w:p w:rsidR="0039688D" w:rsidRPr="0039688D" w:rsidRDefault="0039688D" w:rsidP="0039688D">
      <w:pPr>
        <w:pStyle w:val="p1"/>
        <w:spacing w:before="0" w:after="0" w:line="480" w:lineRule="auto"/>
        <w:jc w:val="both"/>
        <w:rPr>
          <w:bCs/>
          <w:sz w:val="24"/>
          <w:szCs w:val="24"/>
        </w:rPr>
      </w:pPr>
    </w:p>
    <w:p w:rsidR="0039688D" w:rsidRPr="0039688D" w:rsidRDefault="0039688D" w:rsidP="0039688D">
      <w:pPr>
        <w:pStyle w:val="p1"/>
        <w:spacing w:before="0" w:after="0" w:line="480" w:lineRule="auto"/>
        <w:jc w:val="both"/>
        <w:rPr>
          <w:bCs/>
          <w:sz w:val="24"/>
          <w:szCs w:val="24"/>
        </w:rPr>
      </w:pPr>
    </w:p>
    <w:p w:rsidR="00100382" w:rsidRPr="0039688D" w:rsidRDefault="00100382" w:rsidP="0039688D">
      <w:pPr>
        <w:pStyle w:val="p1"/>
        <w:spacing w:before="0" w:after="0" w:line="480" w:lineRule="auto"/>
        <w:jc w:val="center"/>
        <w:rPr>
          <w:sz w:val="24"/>
          <w:szCs w:val="24"/>
        </w:rPr>
      </w:pPr>
      <w:r w:rsidRPr="0039688D">
        <w:rPr>
          <w:bCs/>
          <w:sz w:val="24"/>
          <w:szCs w:val="24"/>
        </w:rPr>
        <w:t>Right to Choose How to Die</w:t>
      </w:r>
    </w:p>
    <w:p w:rsidR="00100382" w:rsidRPr="0039688D" w:rsidRDefault="00100382" w:rsidP="0039688D">
      <w:pPr>
        <w:spacing w:after="0" w:line="480" w:lineRule="auto"/>
        <w:jc w:val="center"/>
        <w:rPr>
          <w:sz w:val="24"/>
          <w:szCs w:val="24"/>
        </w:rPr>
      </w:pPr>
      <w:r w:rsidRPr="0039688D">
        <w:rPr>
          <w:sz w:val="24"/>
          <w:szCs w:val="24"/>
        </w:rPr>
        <w:t>Name</w:t>
      </w:r>
    </w:p>
    <w:p w:rsidR="00100382" w:rsidRPr="0039688D" w:rsidRDefault="00100382" w:rsidP="0039688D">
      <w:pPr>
        <w:spacing w:after="0" w:line="480" w:lineRule="auto"/>
        <w:jc w:val="center"/>
        <w:rPr>
          <w:sz w:val="24"/>
          <w:szCs w:val="24"/>
        </w:rPr>
      </w:pPr>
      <w:r w:rsidRPr="0039688D">
        <w:rPr>
          <w:sz w:val="24"/>
          <w:szCs w:val="24"/>
        </w:rPr>
        <w:t>Institutional Affiliation</w:t>
      </w:r>
    </w:p>
    <w:p w:rsidR="00013252" w:rsidRPr="0039688D" w:rsidRDefault="00013252" w:rsidP="0039688D">
      <w:pPr>
        <w:spacing w:after="0" w:line="480" w:lineRule="auto"/>
        <w:jc w:val="both"/>
        <w:rPr>
          <w:sz w:val="24"/>
          <w:szCs w:val="24"/>
        </w:rPr>
      </w:pPr>
      <w:r w:rsidRPr="0039688D">
        <w:rPr>
          <w:sz w:val="24"/>
          <w:szCs w:val="24"/>
        </w:rPr>
        <w:br w:type="page"/>
      </w:r>
    </w:p>
    <w:p w:rsidR="00100382" w:rsidRPr="0039688D" w:rsidRDefault="00013252" w:rsidP="0039688D">
      <w:pPr>
        <w:spacing w:after="0" w:line="480" w:lineRule="auto"/>
        <w:jc w:val="center"/>
        <w:rPr>
          <w:sz w:val="24"/>
          <w:szCs w:val="24"/>
        </w:rPr>
      </w:pPr>
      <w:r w:rsidRPr="0039688D">
        <w:rPr>
          <w:sz w:val="24"/>
          <w:szCs w:val="24"/>
        </w:rPr>
        <w:lastRenderedPageBreak/>
        <w:t>Right to Choose How to Die</w:t>
      </w:r>
    </w:p>
    <w:p w:rsidR="004A0BC8" w:rsidRDefault="00F67536" w:rsidP="004A0BC8">
      <w:pPr>
        <w:spacing w:after="0" w:line="480" w:lineRule="auto"/>
        <w:ind w:firstLine="720"/>
        <w:jc w:val="both"/>
        <w:rPr>
          <w:sz w:val="24"/>
          <w:szCs w:val="24"/>
        </w:rPr>
      </w:pPr>
      <w:r w:rsidRPr="00F67536">
        <w:rPr>
          <w:sz w:val="24"/>
          <w:szCs w:val="24"/>
        </w:rPr>
        <w:t>The word death from peoples experience is terrifying, and nobody ever wishes to die or see their loved one perish from the cruel hands of death. By definition, death is an enduring termination of all the biological functions that sustain a living organism. Bereavement could be brought about by different situations and occurrences: old age, dehydration, malnutrition, diseases, suicidal deaths, homicide, starvation or even accident. There are so many ways that one’s life could get brought to a standstill. Additionally, death legally gets defined as natural. Does the prosecution of individuals qualify to be natural?</w:t>
      </w:r>
    </w:p>
    <w:p w:rsidR="00F67536" w:rsidRPr="00F67536" w:rsidRDefault="00F67536" w:rsidP="004A0BC8">
      <w:pPr>
        <w:spacing w:after="0" w:line="480" w:lineRule="auto"/>
        <w:ind w:firstLine="720"/>
        <w:jc w:val="both"/>
        <w:rPr>
          <w:sz w:val="24"/>
          <w:szCs w:val="24"/>
        </w:rPr>
      </w:pPr>
      <w:r w:rsidRPr="00F67536">
        <w:rPr>
          <w:sz w:val="24"/>
          <w:szCs w:val="24"/>
        </w:rPr>
        <w:t>Nonetheless, it is still considered dying. The manner of demise that is universally accepted is Natural, Accidents, suicide which could get done in so many ways and homicide. However my tough stance remains, people should be allowed to choose how to die.</w:t>
      </w:r>
    </w:p>
    <w:p w:rsidR="004A0BC8" w:rsidRDefault="00F67536" w:rsidP="004A0BC8">
      <w:pPr>
        <w:spacing w:after="0" w:line="480" w:lineRule="auto"/>
        <w:jc w:val="both"/>
        <w:rPr>
          <w:sz w:val="24"/>
          <w:szCs w:val="24"/>
        </w:rPr>
      </w:pPr>
      <w:r w:rsidRPr="00F67536">
        <w:rPr>
          <w:sz w:val="24"/>
          <w:szCs w:val="24"/>
        </w:rPr>
        <w:t xml:space="preserve">The right to point out how to die has always been the subject matter that concerns so many people around the globe. Debates have still get held on whether a dying patient in the hospital has a right to die with the aid of a doctor or physician. Majority of the world’s population were against it because of moral reasons and religious beliefs. However, others were for the idea out of compassion for the suffering and respect for the dying. In other words the action of allowing somebody to die, whether it is his own will or not it still get termed as assisted suicide (Jones, Gastmans, &amp; MacKellar, 2017). Arguing, on the contrary, euthanasia can be understood in different ways for instance for others it is an act of disarming someone to experience death at an early stage to relieve them of pain and agony from the already confirmed incurable and upsetting conditions. As a result, they get assisted with the relief. </w:t>
      </w:r>
    </w:p>
    <w:p w:rsidR="004A0BC8" w:rsidRDefault="00F67536" w:rsidP="004A0BC8">
      <w:pPr>
        <w:spacing w:after="0" w:line="480" w:lineRule="auto"/>
        <w:ind w:firstLine="720"/>
        <w:jc w:val="both"/>
        <w:rPr>
          <w:sz w:val="24"/>
          <w:szCs w:val="24"/>
        </w:rPr>
      </w:pPr>
      <w:r w:rsidRPr="00F67536">
        <w:rPr>
          <w:sz w:val="24"/>
          <w:szCs w:val="24"/>
        </w:rPr>
        <w:t>Somebody could argue that comfort is as well pocket-friendly since the family, friends, and workmates no longer have to keep funding the hospital bills. Besides, the remaining percentage of people think euthanasia is murder and an act of killing. Mostly against Gods will of a particular tradition within their community.</w:t>
      </w:r>
    </w:p>
    <w:p w:rsidR="004A0BC8" w:rsidRDefault="00F67536" w:rsidP="004A0BC8">
      <w:pPr>
        <w:spacing w:after="0" w:line="480" w:lineRule="auto"/>
        <w:ind w:firstLine="720"/>
        <w:jc w:val="both"/>
        <w:rPr>
          <w:sz w:val="24"/>
          <w:szCs w:val="24"/>
        </w:rPr>
      </w:pPr>
      <w:r w:rsidRPr="00F67536">
        <w:rPr>
          <w:sz w:val="24"/>
          <w:szCs w:val="24"/>
        </w:rPr>
        <w:lastRenderedPageBreak/>
        <w:t>The conscience of death and its predictability is actually what distinguishes the h</w:t>
      </w:r>
      <w:r w:rsidR="004A0BC8">
        <w:rPr>
          <w:sz w:val="24"/>
          <w:szCs w:val="24"/>
        </w:rPr>
        <w:t xml:space="preserve">uman being </w:t>
      </w:r>
      <w:r w:rsidRPr="00F67536">
        <w:rPr>
          <w:sz w:val="24"/>
          <w:szCs w:val="24"/>
        </w:rPr>
        <w:t>and animals. It is otherwise evident that our secular state and religious-centered taboos still hold the beliefs and perception of people when it emanates to death (Battin, Rhodes, &amp; Silvers, 2015). Let us consider a timely question. Do people run contrary to the dying of light until the last moment? Or do we long for death and face it like any other personal friend? If we all carry death within us, then surely we have to recognize it when it comes calling.</w:t>
      </w:r>
    </w:p>
    <w:p w:rsidR="0014719C" w:rsidRPr="0039688D" w:rsidRDefault="00F67536" w:rsidP="004A0BC8">
      <w:pPr>
        <w:spacing w:after="0" w:line="480" w:lineRule="auto"/>
        <w:ind w:firstLine="720"/>
        <w:jc w:val="both"/>
        <w:rPr>
          <w:sz w:val="24"/>
          <w:szCs w:val="24"/>
        </w:rPr>
      </w:pPr>
      <w:r w:rsidRPr="00F67536">
        <w:rPr>
          <w:sz w:val="24"/>
          <w:szCs w:val="24"/>
        </w:rPr>
        <w:t>Religious experts could or else consider doctors are performing euthanasia right since they are made to believe in the scripture that without doubt condemns killing as a commandment given by the Lord God himself. Therefore considers euthanasia a sin and not in any way related to administering of medical service to the sick. In religious terms, the sick suffer from the lord (Jackson &amp; Keown, 2011). Consequently, euthanasia is very much illegal. In my point of view, it is the particular choice of a person to choose how to die especially when in suffering and agony. What I am against is suicide and denial of the suffering to die after so much suffering without hope. In a nutshell, everyone has the right to be relieved of sorrow, pain, and agony.</w:t>
      </w:r>
      <w:r w:rsidR="0014719C" w:rsidRPr="0039688D">
        <w:rPr>
          <w:sz w:val="24"/>
          <w:szCs w:val="24"/>
        </w:rPr>
        <w:br w:type="page"/>
      </w:r>
    </w:p>
    <w:p w:rsidR="0014719C" w:rsidRPr="0014719C" w:rsidRDefault="0014719C" w:rsidP="0039688D">
      <w:pPr>
        <w:shd w:val="clear" w:color="auto" w:fill="FFFFFF"/>
        <w:suppressAutoHyphens w:val="0"/>
        <w:spacing w:after="0" w:line="480" w:lineRule="auto"/>
        <w:jc w:val="center"/>
        <w:rPr>
          <w:color w:val="000000"/>
          <w:sz w:val="24"/>
          <w:szCs w:val="24"/>
          <w:lang w:val="en-GB" w:eastAsia="en-GB"/>
        </w:rPr>
      </w:pPr>
      <w:r w:rsidRPr="0014719C">
        <w:rPr>
          <w:color w:val="000000"/>
          <w:sz w:val="24"/>
          <w:szCs w:val="24"/>
          <w:lang w:val="en-GB" w:eastAsia="en-GB"/>
        </w:rPr>
        <w:lastRenderedPageBreak/>
        <w:t>References</w:t>
      </w:r>
    </w:p>
    <w:p w:rsidR="0014719C" w:rsidRPr="0014719C" w:rsidRDefault="0014719C" w:rsidP="0039688D">
      <w:pPr>
        <w:shd w:val="clear" w:color="auto" w:fill="FFFFFF"/>
        <w:suppressAutoHyphens w:val="0"/>
        <w:spacing w:after="0" w:line="480" w:lineRule="auto"/>
        <w:ind w:left="720" w:right="75" w:hanging="720"/>
        <w:jc w:val="center"/>
        <w:rPr>
          <w:color w:val="000000"/>
          <w:sz w:val="24"/>
          <w:szCs w:val="24"/>
          <w:lang w:val="en-GB" w:eastAsia="en-GB"/>
        </w:rPr>
      </w:pPr>
      <w:r w:rsidRPr="0014719C">
        <w:rPr>
          <w:color w:val="000000"/>
          <w:sz w:val="24"/>
          <w:szCs w:val="24"/>
          <w:lang w:val="en-GB" w:eastAsia="en-GB"/>
        </w:rPr>
        <w:t>Battin, M. P., Rhodes, R., &amp; Silvers, A. (2015). </w:t>
      </w:r>
      <w:r w:rsidRPr="0039688D">
        <w:rPr>
          <w:i/>
          <w:iCs/>
          <w:noProof/>
          <w:color w:val="000000"/>
          <w:sz w:val="24"/>
          <w:szCs w:val="24"/>
          <w:lang w:val="en-GB" w:eastAsia="en-GB"/>
        </w:rPr>
        <w:t>Physician</w:t>
      </w:r>
      <w:r w:rsidR="0039688D" w:rsidRPr="0039688D">
        <w:rPr>
          <w:i/>
          <w:iCs/>
          <w:noProof/>
          <w:color w:val="000000"/>
          <w:sz w:val="24"/>
          <w:szCs w:val="24"/>
          <w:lang w:val="en-GB" w:eastAsia="en-GB"/>
        </w:rPr>
        <w:t>-</w:t>
      </w:r>
      <w:r w:rsidRPr="0039688D">
        <w:rPr>
          <w:i/>
          <w:iCs/>
          <w:noProof/>
          <w:color w:val="000000"/>
          <w:sz w:val="24"/>
          <w:szCs w:val="24"/>
          <w:lang w:val="en-GB" w:eastAsia="en-GB"/>
        </w:rPr>
        <w:t>Assisted</w:t>
      </w:r>
      <w:r w:rsidRPr="0039688D">
        <w:rPr>
          <w:i/>
          <w:iCs/>
          <w:color w:val="000000"/>
          <w:sz w:val="24"/>
          <w:szCs w:val="24"/>
          <w:lang w:val="en-GB" w:eastAsia="en-GB"/>
        </w:rPr>
        <w:t xml:space="preserve"> Suicide: Expanding the Debate</w:t>
      </w:r>
      <w:r w:rsidRPr="0014719C">
        <w:rPr>
          <w:color w:val="000000"/>
          <w:sz w:val="24"/>
          <w:szCs w:val="24"/>
          <w:lang w:val="en-GB" w:eastAsia="en-GB"/>
        </w:rPr>
        <w:t>. London, England: Routledge.</w:t>
      </w:r>
    </w:p>
    <w:p w:rsidR="0014719C" w:rsidRPr="0014719C" w:rsidRDefault="0014719C" w:rsidP="0039688D">
      <w:pPr>
        <w:shd w:val="clear" w:color="auto" w:fill="FFFFFF"/>
        <w:suppressAutoHyphens w:val="0"/>
        <w:spacing w:after="0" w:line="480" w:lineRule="auto"/>
        <w:ind w:left="720" w:right="75" w:hanging="720"/>
        <w:jc w:val="center"/>
        <w:rPr>
          <w:color w:val="000000"/>
          <w:sz w:val="24"/>
          <w:szCs w:val="24"/>
          <w:lang w:val="en-GB" w:eastAsia="en-GB"/>
        </w:rPr>
      </w:pPr>
      <w:r w:rsidRPr="0014719C">
        <w:rPr>
          <w:color w:val="000000"/>
          <w:sz w:val="24"/>
          <w:szCs w:val="24"/>
          <w:lang w:val="en-GB" w:eastAsia="en-GB"/>
        </w:rPr>
        <w:t>Jackson, E., &amp; Keown, J. (2011). </w:t>
      </w:r>
      <w:r w:rsidRPr="0039688D">
        <w:rPr>
          <w:i/>
          <w:iCs/>
          <w:color w:val="000000"/>
          <w:sz w:val="24"/>
          <w:szCs w:val="24"/>
          <w:lang w:val="en-GB" w:eastAsia="en-GB"/>
        </w:rPr>
        <w:t>Debating Euthanasia</w:t>
      </w:r>
      <w:r w:rsidRPr="0014719C">
        <w:rPr>
          <w:color w:val="000000"/>
          <w:sz w:val="24"/>
          <w:szCs w:val="24"/>
          <w:lang w:val="en-GB" w:eastAsia="en-GB"/>
        </w:rPr>
        <w:t>. London, England: Bloomsbury Publishing.</w:t>
      </w:r>
    </w:p>
    <w:p w:rsidR="0014719C" w:rsidRPr="0014719C" w:rsidRDefault="0014719C" w:rsidP="0039688D">
      <w:pPr>
        <w:shd w:val="clear" w:color="auto" w:fill="FFFFFF"/>
        <w:suppressAutoHyphens w:val="0"/>
        <w:spacing w:after="0" w:line="480" w:lineRule="auto"/>
        <w:ind w:left="720" w:right="75" w:hanging="720"/>
        <w:jc w:val="center"/>
        <w:rPr>
          <w:color w:val="000000"/>
          <w:sz w:val="24"/>
          <w:szCs w:val="24"/>
          <w:lang w:val="en-GB" w:eastAsia="en-GB"/>
        </w:rPr>
      </w:pPr>
      <w:r w:rsidRPr="0014719C">
        <w:rPr>
          <w:color w:val="000000"/>
          <w:sz w:val="24"/>
          <w:szCs w:val="24"/>
          <w:lang w:val="en-GB" w:eastAsia="en-GB"/>
        </w:rPr>
        <w:t>Jones, D. A., Gastmans, C., &amp; MacKellar, C. (2017). </w:t>
      </w:r>
      <w:r w:rsidRPr="0039688D">
        <w:rPr>
          <w:i/>
          <w:iCs/>
          <w:color w:val="000000"/>
          <w:sz w:val="24"/>
          <w:szCs w:val="24"/>
          <w:lang w:val="en-GB" w:eastAsia="en-GB"/>
        </w:rPr>
        <w:t>Euthanasia and Assisted Suicide: Lessons from Belgium</w:t>
      </w:r>
      <w:r w:rsidRPr="0014719C">
        <w:rPr>
          <w:color w:val="000000"/>
          <w:sz w:val="24"/>
          <w:szCs w:val="24"/>
          <w:lang w:val="en-GB" w:eastAsia="en-GB"/>
        </w:rPr>
        <w:t>. Cambridge, England: Cambridge University Press.</w:t>
      </w:r>
    </w:p>
    <w:p w:rsidR="00586AF7" w:rsidRPr="0039688D" w:rsidRDefault="00586AF7" w:rsidP="0039688D">
      <w:pPr>
        <w:spacing w:after="0" w:line="480" w:lineRule="auto"/>
        <w:jc w:val="both"/>
        <w:rPr>
          <w:sz w:val="24"/>
          <w:szCs w:val="24"/>
        </w:rPr>
      </w:pPr>
    </w:p>
    <w:sectPr w:rsidR="00586AF7" w:rsidRPr="0039688D" w:rsidSect="00A1188F">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D25" w:rsidRDefault="00415D25" w:rsidP="00A50CB6">
      <w:pPr>
        <w:spacing w:after="0" w:line="240" w:lineRule="auto"/>
      </w:pPr>
      <w:r>
        <w:separator/>
      </w:r>
    </w:p>
  </w:endnote>
  <w:endnote w:type="continuationSeparator" w:id="0">
    <w:p w:rsidR="00415D25" w:rsidRDefault="00415D25" w:rsidP="00A50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D25" w:rsidRDefault="00415D25" w:rsidP="00A50CB6">
      <w:pPr>
        <w:spacing w:after="0" w:line="240" w:lineRule="auto"/>
      </w:pPr>
      <w:r>
        <w:separator/>
      </w:r>
    </w:p>
  </w:footnote>
  <w:footnote w:type="continuationSeparator" w:id="0">
    <w:p w:rsidR="00415D25" w:rsidRDefault="00415D25" w:rsidP="00A50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50CB6" w:rsidRPr="00013252" w:rsidRDefault="00A1188F" w:rsidP="00A50CB6">
    <w:pPr>
      <w:pStyle w:val="Header"/>
      <w:rPr>
        <w:rFonts w:ascii="Times New Roman" w:hAnsi="Times New Roman" w:cs="Times New Roman"/>
        <w:sz w:val="24"/>
        <w:szCs w:val="24"/>
      </w:rPr>
    </w:pPr>
    <w:r w:rsidRPr="00013252">
      <w:rPr>
        <w:rFonts w:ascii="Times New Roman" w:hAnsi="Times New Roman" w:cs="Times New Roman"/>
        <w:sz w:val="24"/>
        <w:szCs w:val="24"/>
      </w:rPr>
      <w:t xml:space="preserve"> RIGHT TO CHOOSE WHEN TO DIE</w:t>
    </w:r>
    <w:r w:rsidRPr="00013252">
      <w:rPr>
        <w:rFonts w:ascii="Times New Roman" w:hAnsi="Times New Roman" w:cs="Times New Roman"/>
        <w:sz w:val="24"/>
        <w:szCs w:val="24"/>
      </w:rPr>
      <w:tab/>
    </w:r>
    <w:r w:rsidRPr="00013252">
      <w:rPr>
        <w:rFonts w:ascii="Times New Roman" w:hAnsi="Times New Roman" w:cs="Times New Roman"/>
        <w:sz w:val="24"/>
        <w:szCs w:val="24"/>
      </w:rPr>
      <w:tab/>
    </w:r>
    <w:sdt>
      <w:sdtPr>
        <w:rPr>
          <w:rFonts w:ascii="Times New Roman" w:hAnsi="Times New Roman" w:cs="Times New Roman"/>
          <w:sz w:val="24"/>
          <w:szCs w:val="24"/>
        </w:rPr>
        <w:id w:val="-599023484"/>
        <w:docPartObj>
          <w:docPartGallery w:val="Page Numbers (Top of Page)"/>
          <w:docPartUnique/>
        </w:docPartObj>
      </w:sdtPr>
      <w:sdtEndPr>
        <w:rPr>
          <w:noProof/>
        </w:rPr>
      </w:sdtEndPr>
      <w:sdtContent>
        <w:r w:rsidR="00A50CB6" w:rsidRPr="00013252">
          <w:rPr>
            <w:rFonts w:ascii="Times New Roman" w:hAnsi="Times New Roman" w:cs="Times New Roman"/>
            <w:sz w:val="24"/>
            <w:szCs w:val="24"/>
          </w:rPr>
          <w:fldChar w:fldCharType="begin"/>
        </w:r>
        <w:r w:rsidR="00A50CB6" w:rsidRPr="00013252">
          <w:rPr>
            <w:rFonts w:ascii="Times New Roman" w:hAnsi="Times New Roman" w:cs="Times New Roman"/>
            <w:sz w:val="24"/>
            <w:szCs w:val="24"/>
          </w:rPr>
          <w:instrText xml:space="preserve"> PAGE   \* MERGEFORMAT </w:instrText>
        </w:r>
        <w:r w:rsidR="00A50CB6" w:rsidRPr="00013252">
          <w:rPr>
            <w:rFonts w:ascii="Times New Roman" w:hAnsi="Times New Roman" w:cs="Times New Roman"/>
            <w:sz w:val="24"/>
            <w:szCs w:val="24"/>
          </w:rPr>
          <w:fldChar w:fldCharType="separate"/>
        </w:r>
        <w:r w:rsidR="00160569">
          <w:rPr>
            <w:rFonts w:ascii="Times New Roman" w:hAnsi="Times New Roman" w:cs="Times New Roman"/>
            <w:noProof/>
            <w:sz w:val="24"/>
            <w:szCs w:val="24"/>
          </w:rPr>
          <w:t>2</w:t>
        </w:r>
        <w:r w:rsidR="00A50CB6" w:rsidRPr="00013252">
          <w:rPr>
            <w:rFonts w:ascii="Times New Roman" w:hAnsi="Times New Roman" w:cs="Times New Roman"/>
            <w:noProof/>
            <w:sz w:val="24"/>
            <w:szCs w:val="24"/>
          </w:rPr>
          <w:fldChar w:fldCharType="end"/>
        </w:r>
      </w:sdtContent>
    </w:sdt>
  </w:p>
  <w:p w:rsidR="00A50CB6" w:rsidRPr="00013252" w:rsidRDefault="00A50CB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24C9" w:rsidRPr="00612AF6" w:rsidRDefault="00E124C9" w:rsidP="00E124C9">
    <w:pPr>
      <w:pStyle w:val="Header"/>
      <w:rPr>
        <w:rFonts w:ascii="Times New Roman" w:hAnsi="Times New Roman" w:cs="Times New Roman"/>
        <w:sz w:val="24"/>
        <w:szCs w:val="24"/>
      </w:rPr>
    </w:pPr>
    <w:r w:rsidRPr="00612AF6">
      <w:rPr>
        <w:rFonts w:ascii="Times New Roman" w:hAnsi="Times New Roman" w:cs="Times New Roman"/>
        <w:sz w:val="24"/>
        <w:szCs w:val="24"/>
      </w:rPr>
      <w:t>Runni</w:t>
    </w:r>
    <w:r w:rsidR="00612AF6" w:rsidRPr="00612AF6">
      <w:rPr>
        <w:rFonts w:ascii="Times New Roman" w:hAnsi="Times New Roman" w:cs="Times New Roman"/>
        <w:sz w:val="24"/>
        <w:szCs w:val="24"/>
      </w:rPr>
      <w:t xml:space="preserve">ng head: RIGHT TO CHOOSE HOW TO </w:t>
    </w:r>
    <w:r w:rsidRPr="00612AF6">
      <w:rPr>
        <w:rFonts w:ascii="Times New Roman" w:hAnsi="Times New Roman" w:cs="Times New Roman"/>
        <w:sz w:val="24"/>
        <w:szCs w:val="24"/>
      </w:rPr>
      <w:t>DIE</w:t>
    </w:r>
    <w:r w:rsidRPr="00612AF6">
      <w:rPr>
        <w:rFonts w:ascii="Times New Roman" w:hAnsi="Times New Roman" w:cs="Times New Roman"/>
        <w:sz w:val="24"/>
        <w:szCs w:val="24"/>
      </w:rPr>
      <w:tab/>
    </w:r>
    <w:sdt>
      <w:sdtPr>
        <w:rPr>
          <w:rFonts w:ascii="Times New Roman" w:hAnsi="Times New Roman" w:cs="Times New Roman"/>
          <w:sz w:val="24"/>
          <w:szCs w:val="24"/>
        </w:rPr>
        <w:id w:val="-556939712"/>
        <w:docPartObj>
          <w:docPartGallery w:val="Page Numbers (Top of Page)"/>
          <w:docPartUnique/>
        </w:docPartObj>
      </w:sdtPr>
      <w:sdtEndPr>
        <w:rPr>
          <w:noProof/>
        </w:rPr>
      </w:sdtEndPr>
      <w:sdtContent>
        <w:r w:rsidRPr="00612AF6">
          <w:rPr>
            <w:rFonts w:ascii="Times New Roman" w:hAnsi="Times New Roman" w:cs="Times New Roman"/>
            <w:sz w:val="24"/>
            <w:szCs w:val="24"/>
          </w:rPr>
          <w:fldChar w:fldCharType="begin"/>
        </w:r>
        <w:r w:rsidRPr="00612AF6">
          <w:rPr>
            <w:rFonts w:ascii="Times New Roman" w:hAnsi="Times New Roman" w:cs="Times New Roman"/>
            <w:sz w:val="24"/>
            <w:szCs w:val="24"/>
          </w:rPr>
          <w:instrText xml:space="preserve"> PAGE   \* MERGEFORMAT </w:instrText>
        </w:r>
        <w:r w:rsidRPr="00612AF6">
          <w:rPr>
            <w:rFonts w:ascii="Times New Roman" w:hAnsi="Times New Roman" w:cs="Times New Roman"/>
            <w:sz w:val="24"/>
            <w:szCs w:val="24"/>
          </w:rPr>
          <w:fldChar w:fldCharType="separate"/>
        </w:r>
        <w:r w:rsidR="00160569">
          <w:rPr>
            <w:rFonts w:ascii="Times New Roman" w:hAnsi="Times New Roman" w:cs="Times New Roman"/>
            <w:noProof/>
            <w:sz w:val="24"/>
            <w:szCs w:val="24"/>
          </w:rPr>
          <w:t>1</w:t>
        </w:r>
        <w:r w:rsidRPr="00612AF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O3tDAyMDA0NjM1NDZR0lEKTi0uzszPAykwrAUAvbyi6iwAAAA="/>
  </w:docVars>
  <w:rsids>
    <w:rsidRoot w:val="00A50CB6"/>
    <w:rsid w:val="00007C78"/>
    <w:rsid w:val="00012E4D"/>
    <w:rsid w:val="00013252"/>
    <w:rsid w:val="00015C2A"/>
    <w:rsid w:val="00040059"/>
    <w:rsid w:val="000C4578"/>
    <w:rsid w:val="00100382"/>
    <w:rsid w:val="00106BFE"/>
    <w:rsid w:val="0014719C"/>
    <w:rsid w:val="00160569"/>
    <w:rsid w:val="001921B5"/>
    <w:rsid w:val="0020252E"/>
    <w:rsid w:val="0024680D"/>
    <w:rsid w:val="00326EB3"/>
    <w:rsid w:val="00335229"/>
    <w:rsid w:val="0034472A"/>
    <w:rsid w:val="0039688D"/>
    <w:rsid w:val="004030E6"/>
    <w:rsid w:val="00415D25"/>
    <w:rsid w:val="004854C2"/>
    <w:rsid w:val="004A0BC8"/>
    <w:rsid w:val="004A4A46"/>
    <w:rsid w:val="004A63F4"/>
    <w:rsid w:val="00516C3F"/>
    <w:rsid w:val="0057015D"/>
    <w:rsid w:val="00586AF7"/>
    <w:rsid w:val="00596892"/>
    <w:rsid w:val="005B691C"/>
    <w:rsid w:val="005E0801"/>
    <w:rsid w:val="005E7342"/>
    <w:rsid w:val="00612AF6"/>
    <w:rsid w:val="00633F17"/>
    <w:rsid w:val="00637BB0"/>
    <w:rsid w:val="006F2C4B"/>
    <w:rsid w:val="006F43B6"/>
    <w:rsid w:val="00713188"/>
    <w:rsid w:val="0074389B"/>
    <w:rsid w:val="007538EF"/>
    <w:rsid w:val="00767137"/>
    <w:rsid w:val="007B3445"/>
    <w:rsid w:val="007C41EC"/>
    <w:rsid w:val="00803155"/>
    <w:rsid w:val="008620F7"/>
    <w:rsid w:val="00877ECA"/>
    <w:rsid w:val="00897A57"/>
    <w:rsid w:val="008D08DC"/>
    <w:rsid w:val="00930F9F"/>
    <w:rsid w:val="00A01063"/>
    <w:rsid w:val="00A1188F"/>
    <w:rsid w:val="00A34F3F"/>
    <w:rsid w:val="00A50CB6"/>
    <w:rsid w:val="00A80553"/>
    <w:rsid w:val="00AC4BD2"/>
    <w:rsid w:val="00BC6296"/>
    <w:rsid w:val="00BE4767"/>
    <w:rsid w:val="00C042E9"/>
    <w:rsid w:val="00CC707F"/>
    <w:rsid w:val="00CE584F"/>
    <w:rsid w:val="00D25F71"/>
    <w:rsid w:val="00D53999"/>
    <w:rsid w:val="00DD2466"/>
    <w:rsid w:val="00E03C7B"/>
    <w:rsid w:val="00E0458D"/>
    <w:rsid w:val="00E124C9"/>
    <w:rsid w:val="00E270BB"/>
    <w:rsid w:val="00E309B9"/>
    <w:rsid w:val="00E40B24"/>
    <w:rsid w:val="00E41A72"/>
    <w:rsid w:val="00EA4AC5"/>
    <w:rsid w:val="00ED2E25"/>
    <w:rsid w:val="00F67536"/>
    <w:rsid w:val="00F750A5"/>
    <w:rsid w:val="00F838EB"/>
    <w:rsid w:val="00FA6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069F6-ABDD-4094-B734-91D8E5820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382"/>
    <w:pPr>
      <w:suppressAutoHyphens/>
      <w:spacing w:after="200" w:line="276"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CB6"/>
    <w:pPr>
      <w:tabs>
        <w:tab w:val="center" w:pos="4513"/>
        <w:tab w:val="right" w:pos="9026"/>
      </w:tabs>
      <w:suppressAutoHyphens w:val="0"/>
      <w:spacing w:after="0" w:line="240" w:lineRule="auto"/>
    </w:pPr>
    <w:rPr>
      <w:rFonts w:asciiTheme="minorHAnsi" w:eastAsiaTheme="minorHAnsi" w:hAnsiTheme="minorHAnsi" w:cstheme="minorBidi"/>
      <w:sz w:val="22"/>
      <w:szCs w:val="22"/>
      <w:lang w:val="en-GB"/>
    </w:rPr>
  </w:style>
  <w:style w:type="character" w:customStyle="1" w:styleId="HeaderChar">
    <w:name w:val="Header Char"/>
    <w:basedOn w:val="DefaultParagraphFont"/>
    <w:link w:val="Header"/>
    <w:uiPriority w:val="99"/>
    <w:rsid w:val="00A50CB6"/>
  </w:style>
  <w:style w:type="paragraph" w:styleId="Footer">
    <w:name w:val="footer"/>
    <w:basedOn w:val="Normal"/>
    <w:link w:val="FooterChar"/>
    <w:uiPriority w:val="99"/>
    <w:unhideWhenUsed/>
    <w:rsid w:val="00A50CB6"/>
    <w:pPr>
      <w:tabs>
        <w:tab w:val="center" w:pos="4513"/>
        <w:tab w:val="right" w:pos="9026"/>
      </w:tabs>
      <w:suppressAutoHyphens w:val="0"/>
      <w:spacing w:after="0" w:line="240" w:lineRule="auto"/>
    </w:pPr>
    <w:rPr>
      <w:rFonts w:asciiTheme="minorHAnsi" w:eastAsiaTheme="minorHAnsi" w:hAnsiTheme="minorHAnsi" w:cstheme="minorBidi"/>
      <w:sz w:val="22"/>
      <w:szCs w:val="22"/>
      <w:lang w:val="en-GB"/>
    </w:rPr>
  </w:style>
  <w:style w:type="character" w:customStyle="1" w:styleId="FooterChar">
    <w:name w:val="Footer Char"/>
    <w:basedOn w:val="DefaultParagraphFont"/>
    <w:link w:val="Footer"/>
    <w:uiPriority w:val="99"/>
    <w:rsid w:val="00A50CB6"/>
  </w:style>
  <w:style w:type="paragraph" w:customStyle="1" w:styleId="p1">
    <w:name w:val="p1"/>
    <w:basedOn w:val="Normal"/>
    <w:qFormat/>
    <w:rsid w:val="00100382"/>
    <w:pPr>
      <w:spacing w:before="280" w:after="280" w:line="240" w:lineRule="auto"/>
    </w:pPr>
  </w:style>
  <w:style w:type="paragraph" w:customStyle="1" w:styleId="cpformat">
    <w:name w:val="cpformat"/>
    <w:basedOn w:val="Normal"/>
    <w:rsid w:val="0014719C"/>
    <w:pPr>
      <w:suppressAutoHyphens w:val="0"/>
      <w:spacing w:before="100" w:beforeAutospacing="1" w:after="100" w:afterAutospacing="1" w:line="240" w:lineRule="auto"/>
    </w:pPr>
    <w:rPr>
      <w:sz w:val="24"/>
      <w:szCs w:val="24"/>
      <w:lang w:val="en-GB" w:eastAsia="en-GB"/>
    </w:rPr>
  </w:style>
  <w:style w:type="character" w:styleId="Emphasis">
    <w:name w:val="Emphasis"/>
    <w:basedOn w:val="DefaultParagraphFont"/>
    <w:uiPriority w:val="20"/>
    <w:qFormat/>
    <w:rsid w:val="0014719C"/>
    <w:rPr>
      <w:i/>
      <w:iCs/>
    </w:rPr>
  </w:style>
  <w:style w:type="character" w:customStyle="1" w:styleId="gray">
    <w:name w:val="gray"/>
    <w:basedOn w:val="DefaultParagraphFont"/>
    <w:rsid w:val="00396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64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PCJ</dc:creator>
  <cp:keywords/>
  <dc:description/>
  <cp:lastModifiedBy>vinny</cp:lastModifiedBy>
  <cp:revision>2</cp:revision>
  <dcterms:created xsi:type="dcterms:W3CDTF">2019-03-11T23:51:00Z</dcterms:created>
  <dcterms:modified xsi:type="dcterms:W3CDTF">2019-03-11T23:51:00Z</dcterms:modified>
</cp:coreProperties>
</file>